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93" w:rsidRPr="00760B43" w:rsidRDefault="00585C93" w:rsidP="007D1180">
      <w:pPr>
        <w:jc w:val="both"/>
        <w:rPr>
          <w:b/>
          <w:bCs/>
        </w:rPr>
      </w:pPr>
      <w:r w:rsidRPr="00760B43">
        <w:rPr>
          <w:b/>
          <w:bCs/>
        </w:rPr>
        <w:t>FORMATO PRESENTACIÓN CURSOS DE POSGRADO Y DOCTORADO</w:t>
      </w:r>
    </w:p>
    <w:p w:rsidR="00585C93" w:rsidRPr="003E2291" w:rsidRDefault="003E2291" w:rsidP="007D1180">
      <w:pPr>
        <w:jc w:val="both"/>
        <w:rPr>
          <w:u w:val="single"/>
        </w:rPr>
      </w:pPr>
      <w:r w:rsidRPr="003E2291">
        <w:rPr>
          <w:u w:val="single"/>
        </w:rPr>
        <w:t>Denominación de la actividad curricular</w:t>
      </w:r>
      <w:r w:rsidR="00585C93" w:rsidRPr="003E2291">
        <w:rPr>
          <w:u w:val="single"/>
        </w:rPr>
        <w:t xml:space="preserve"> </w:t>
      </w:r>
    </w:p>
    <w:p w:rsidR="00775F46" w:rsidRPr="00775F46" w:rsidRDefault="00775F46" w:rsidP="007D1180">
      <w:pPr>
        <w:jc w:val="both"/>
        <w:rPr>
          <w:b/>
          <w:u w:val="single"/>
        </w:rPr>
      </w:pPr>
      <w:r w:rsidRPr="00775F46">
        <w:rPr>
          <w:b/>
          <w:u w:val="single"/>
        </w:rPr>
        <w:t>ARTICULANDO DISTINTOS REGISTROS Y CONTEXTOS: EJEMPLOS AMERICANOS PARA PENSAR EN DIALOGOS ENTRE LA ARQUEOLOGIA Y LA BIOANTROPOLOGIA</w:t>
      </w:r>
    </w:p>
    <w:p w:rsidR="00585C93" w:rsidRDefault="00585C93" w:rsidP="007D1180">
      <w:pPr>
        <w:jc w:val="both"/>
        <w:rPr>
          <w:u w:val="single"/>
        </w:rPr>
      </w:pPr>
      <w:r w:rsidRPr="003E2291">
        <w:rPr>
          <w:u w:val="single"/>
        </w:rPr>
        <w:t>Fundamentación</w:t>
      </w:r>
    </w:p>
    <w:p w:rsidR="0044130D" w:rsidRPr="003047E0" w:rsidRDefault="00F42544" w:rsidP="007D1180">
      <w:pPr>
        <w:jc w:val="both"/>
      </w:pPr>
      <w:r>
        <w:t xml:space="preserve">En el correr de las últimas dos décadas, el registro </w:t>
      </w:r>
      <w:proofErr w:type="spellStart"/>
      <w:r>
        <w:t>esqueletal</w:t>
      </w:r>
      <w:proofErr w:type="spellEnd"/>
      <w:r>
        <w:t xml:space="preserve"> ha pasado de ser un elemento del registro funerario a considerarse una línea de evidencia capaz de proveer a la arqueología de datos cruciales para inferencias culturales. Sin embargo, debido al desarrollo de métodos y técnicas fuertemente especializadas, a menudo la posibilidad de diálogo del registro </w:t>
      </w:r>
      <w:proofErr w:type="spellStart"/>
      <w:r>
        <w:t>esqueletal</w:t>
      </w:r>
      <w:proofErr w:type="spellEnd"/>
      <w:r>
        <w:t xml:space="preserve"> con el resto del registro arqueológico se ven limitadas. E</w:t>
      </w:r>
      <w:r w:rsidR="0044130D" w:rsidRPr="003047E0">
        <w:t>l presente curso pretende</w:t>
      </w:r>
      <w:r>
        <w:t xml:space="preserve"> alimentar el diálogo entre </w:t>
      </w:r>
      <w:proofErr w:type="spellStart"/>
      <w:r>
        <w:t>subdisciplinas</w:t>
      </w:r>
      <w:proofErr w:type="spellEnd"/>
      <w:r>
        <w:t xml:space="preserve"> en antropología usando la </w:t>
      </w:r>
      <w:proofErr w:type="spellStart"/>
      <w:r>
        <w:t>bioarqueología</w:t>
      </w:r>
      <w:proofErr w:type="spellEnd"/>
      <w:r>
        <w:t xml:space="preserve"> como punto de partida para generar reflexiones sobre el registro </w:t>
      </w:r>
      <w:proofErr w:type="spellStart"/>
      <w:r>
        <w:t>esqueletal</w:t>
      </w:r>
      <w:proofErr w:type="spellEnd"/>
      <w:r>
        <w:t xml:space="preserve">, el registro arqueológico y las poblaciones vivas, empleando ejemplos del continente americano como </w:t>
      </w:r>
      <w:r w:rsidR="0044130D" w:rsidRPr="003047E0">
        <w:t xml:space="preserve">forma de impulsar </w:t>
      </w:r>
      <w:r w:rsidR="003047E0" w:rsidRPr="003047E0">
        <w:t>analogías y perspectivas comparativas al momento de problematizar sobre el registro local.</w:t>
      </w:r>
    </w:p>
    <w:p w:rsidR="00585C93" w:rsidRPr="003047E0" w:rsidRDefault="003047E0" w:rsidP="007D1180">
      <w:pPr>
        <w:jc w:val="both"/>
        <w:rPr>
          <w:u w:val="single"/>
        </w:rPr>
      </w:pPr>
      <w:r w:rsidRPr="003047E0">
        <w:rPr>
          <w:u w:val="single"/>
        </w:rPr>
        <w:t>Equipo docente</w:t>
      </w:r>
    </w:p>
    <w:p w:rsidR="003047E0" w:rsidRPr="003047E0" w:rsidRDefault="00585C93" w:rsidP="007D1180">
      <w:pPr>
        <w:jc w:val="both"/>
        <w:rPr>
          <w:lang w:val="es-UY"/>
        </w:rPr>
      </w:pPr>
      <w:r w:rsidRPr="003047E0">
        <w:rPr>
          <w:i/>
        </w:rPr>
        <w:t>Responsable</w:t>
      </w:r>
      <w:r w:rsidR="003047E0" w:rsidRPr="003047E0">
        <w:rPr>
          <w:i/>
        </w:rPr>
        <w:t>:</w:t>
      </w:r>
      <w:r w:rsidR="003047E0">
        <w:t xml:space="preserve"> Prof. </w:t>
      </w:r>
      <w:proofErr w:type="spellStart"/>
      <w:r w:rsidR="003047E0">
        <w:t>Adj.</w:t>
      </w:r>
      <w:proofErr w:type="spellEnd"/>
      <w:r w:rsidR="003047E0">
        <w:t xml:space="preserve"> Dr. Gonzalo Figueiro. Departamento de </w:t>
      </w:r>
      <w:proofErr w:type="spellStart"/>
      <w:r w:rsidR="003047E0">
        <w:t>Antropolog</w:t>
      </w:r>
      <w:r w:rsidR="003047E0">
        <w:rPr>
          <w:lang w:val="es-UY"/>
        </w:rPr>
        <w:t>ía</w:t>
      </w:r>
      <w:proofErr w:type="spellEnd"/>
      <w:r w:rsidR="003047E0">
        <w:rPr>
          <w:lang w:val="es-UY"/>
        </w:rPr>
        <w:t xml:space="preserve"> Biológica, Facultad de Humanidades y Ciencias de la Educación, Universidad de la República, Montevideo, Uruguay</w:t>
      </w:r>
    </w:p>
    <w:p w:rsidR="00585C93" w:rsidRPr="003047E0" w:rsidRDefault="00585C93" w:rsidP="007D1180">
      <w:pPr>
        <w:jc w:val="both"/>
        <w:rPr>
          <w:i/>
        </w:rPr>
      </w:pPr>
      <w:r w:rsidRPr="003047E0">
        <w:rPr>
          <w:i/>
        </w:rPr>
        <w:t>Profesores</w:t>
      </w:r>
      <w:r w:rsidR="003047E0" w:rsidRPr="003047E0">
        <w:rPr>
          <w:i/>
        </w:rPr>
        <w:t>:</w:t>
      </w:r>
    </w:p>
    <w:p w:rsidR="00585C93" w:rsidRDefault="003047E0" w:rsidP="007D1180">
      <w:pPr>
        <w:jc w:val="both"/>
      </w:pPr>
      <w:r w:rsidRPr="003047E0">
        <w:rPr>
          <w:u w:val="single"/>
        </w:rPr>
        <w:t>Carga horaria:</w:t>
      </w:r>
      <w:r w:rsidR="00585C93">
        <w:t xml:space="preserve"> </w:t>
      </w:r>
      <w:r>
        <w:t>45</w:t>
      </w:r>
      <w:r w:rsidR="002C3F65">
        <w:t xml:space="preserve"> horas</w:t>
      </w:r>
    </w:p>
    <w:p w:rsidR="00585C93" w:rsidRPr="003047E0" w:rsidRDefault="003047E0" w:rsidP="007D1180">
      <w:pPr>
        <w:jc w:val="both"/>
        <w:rPr>
          <w:i/>
        </w:rPr>
      </w:pPr>
      <w:r w:rsidRPr="003047E0">
        <w:rPr>
          <w:i/>
        </w:rPr>
        <w:t>C</w:t>
      </w:r>
      <w:r w:rsidR="00585C93" w:rsidRPr="003047E0">
        <w:rPr>
          <w:i/>
        </w:rPr>
        <w:t>argas horarias relacionadas al dictado</w:t>
      </w:r>
      <w:r w:rsidRPr="003047E0">
        <w:rPr>
          <w:i/>
        </w:rPr>
        <w:t xml:space="preserve"> de la actividad en horas reloj</w:t>
      </w:r>
      <w:r w:rsidR="00585C93" w:rsidRPr="003047E0">
        <w:rPr>
          <w:i/>
        </w:rPr>
        <w:t xml:space="preserve"> </w:t>
      </w:r>
    </w:p>
    <w:p w:rsidR="00585C93" w:rsidRPr="003047E0" w:rsidRDefault="00585C93" w:rsidP="007D1180">
      <w:pPr>
        <w:jc w:val="both"/>
        <w:rPr>
          <w:u w:val="single"/>
        </w:rPr>
      </w:pPr>
      <w:r w:rsidRPr="003047E0">
        <w:rPr>
          <w:u w:val="single"/>
        </w:rPr>
        <w:t>Modalidad</w:t>
      </w:r>
      <w:r w:rsidRPr="003047E0">
        <w:tab/>
      </w:r>
      <w:r w:rsidRPr="003047E0">
        <w:rPr>
          <w:u w:val="single"/>
        </w:rPr>
        <w:t>Carga teórica</w:t>
      </w:r>
      <w:r w:rsidRPr="003047E0">
        <w:tab/>
      </w:r>
      <w:r w:rsidRPr="003047E0">
        <w:rPr>
          <w:u w:val="single"/>
        </w:rPr>
        <w:t>Carga práctica</w:t>
      </w:r>
      <w:r w:rsidRPr="003047E0">
        <w:tab/>
      </w:r>
      <w:r w:rsidRPr="003047E0">
        <w:rPr>
          <w:u w:val="single"/>
        </w:rPr>
        <w:t>Total</w:t>
      </w:r>
      <w:r w:rsidRPr="003047E0">
        <w:tab/>
      </w:r>
      <w:r w:rsidRPr="003047E0">
        <w:rPr>
          <w:u w:val="single"/>
        </w:rPr>
        <w:t>Porcentaje</w:t>
      </w:r>
    </w:p>
    <w:p w:rsidR="00585C93" w:rsidRDefault="003E2291" w:rsidP="007D1180">
      <w:pPr>
        <w:jc w:val="both"/>
      </w:pPr>
      <w:r>
        <w:t>Presencial</w:t>
      </w:r>
      <w:r>
        <w:tab/>
        <w:t xml:space="preserve"> 45</w:t>
      </w:r>
      <w:r w:rsidR="00585C93">
        <w:tab/>
        <w:t xml:space="preserve"> </w:t>
      </w:r>
      <w:r w:rsidR="00585C93">
        <w:tab/>
      </w:r>
      <w:r>
        <w:tab/>
      </w:r>
      <w:r w:rsidR="00585C93">
        <w:tab/>
      </w:r>
      <w:r>
        <w:t>45</w:t>
      </w:r>
      <w:r w:rsidR="00585C93">
        <w:tab/>
        <w:t>100</w:t>
      </w:r>
      <w:r w:rsidR="00585C93">
        <w:tab/>
      </w:r>
    </w:p>
    <w:p w:rsidR="003E2291" w:rsidRDefault="003E2291" w:rsidP="007D1180">
      <w:pPr>
        <w:jc w:val="both"/>
      </w:pPr>
    </w:p>
    <w:p w:rsidR="00585C93" w:rsidRPr="00071D59" w:rsidRDefault="00071D59" w:rsidP="007D1180">
      <w:pPr>
        <w:jc w:val="both"/>
        <w:rPr>
          <w:u w:val="single"/>
        </w:rPr>
      </w:pPr>
      <w:r w:rsidRPr="00071D59">
        <w:rPr>
          <w:u w:val="single"/>
        </w:rPr>
        <w:t>O</w:t>
      </w:r>
      <w:r w:rsidR="00585C93" w:rsidRPr="00071D59">
        <w:rPr>
          <w:u w:val="single"/>
        </w:rPr>
        <w:t>bjetivos de la actividad curricular</w:t>
      </w:r>
    </w:p>
    <w:p w:rsidR="003047E0" w:rsidRDefault="00C23CEE" w:rsidP="007D1180">
      <w:pPr>
        <w:jc w:val="both"/>
      </w:pPr>
      <w:r>
        <w:t>Que el</w:t>
      </w:r>
      <w:r w:rsidR="00F42544">
        <w:t>/la</w:t>
      </w:r>
      <w:r>
        <w:t xml:space="preserve"> estudiante:</w:t>
      </w:r>
    </w:p>
    <w:p w:rsidR="009D0392" w:rsidRDefault="00C23CEE" w:rsidP="007D1180">
      <w:pPr>
        <w:jc w:val="both"/>
      </w:pPr>
      <w:r>
        <w:t xml:space="preserve">- </w:t>
      </w:r>
      <w:r w:rsidR="009D0392">
        <w:t xml:space="preserve">analice el </w:t>
      </w:r>
      <w:proofErr w:type="spellStart"/>
      <w:r w:rsidR="009D0392">
        <w:t>resgistro</w:t>
      </w:r>
      <w:proofErr w:type="spellEnd"/>
      <w:r w:rsidR="009D0392">
        <w:t xml:space="preserve"> </w:t>
      </w:r>
      <w:proofErr w:type="spellStart"/>
      <w:r w:rsidR="009D0392">
        <w:t>esqueletal</w:t>
      </w:r>
      <w:proofErr w:type="spellEnd"/>
      <w:r w:rsidR="009D0392">
        <w:t xml:space="preserve"> en cuanto muestra y producto de poblaciones vivas y su cultura;</w:t>
      </w:r>
    </w:p>
    <w:p w:rsidR="00BF0B03" w:rsidRDefault="00C23CEE" w:rsidP="007D1180">
      <w:pPr>
        <w:jc w:val="both"/>
      </w:pPr>
      <w:r>
        <w:t xml:space="preserve">- </w:t>
      </w:r>
      <w:r w:rsidR="009D0392">
        <w:t>adquiera elementos de articulación de registro arqueológico, analogía etnográfica y registro biológico;</w:t>
      </w:r>
    </w:p>
    <w:p w:rsidR="00C23CEE" w:rsidRDefault="009D0392" w:rsidP="007D1180">
      <w:pPr>
        <w:jc w:val="both"/>
      </w:pPr>
      <w:r>
        <w:t>- reflexione a propósito del uso y abuso del dato biológico en arqueología y por extensión en las ciencias antropológicas.</w:t>
      </w:r>
    </w:p>
    <w:p w:rsidR="009D0392" w:rsidRDefault="009D0392" w:rsidP="007D1180">
      <w:pPr>
        <w:jc w:val="both"/>
        <w:rPr>
          <w:u w:val="single"/>
        </w:rPr>
      </w:pPr>
    </w:p>
    <w:p w:rsidR="00585C93" w:rsidRPr="00071D59" w:rsidRDefault="00071D59" w:rsidP="007D1180">
      <w:pPr>
        <w:jc w:val="both"/>
        <w:rPr>
          <w:u w:val="single"/>
        </w:rPr>
      </w:pPr>
      <w:r w:rsidRPr="00071D59">
        <w:rPr>
          <w:u w:val="single"/>
        </w:rPr>
        <w:t>C</w:t>
      </w:r>
      <w:r w:rsidR="00585C93" w:rsidRPr="00071D59">
        <w:rPr>
          <w:u w:val="single"/>
        </w:rPr>
        <w:t>ontenidos de la actividad curricular</w:t>
      </w:r>
    </w:p>
    <w:p w:rsidR="00BF0B03" w:rsidRPr="00141C0A" w:rsidRDefault="00D140A6" w:rsidP="007D1180">
      <w:pPr>
        <w:jc w:val="both"/>
        <w:rPr>
          <w:lang w:val="es-UY"/>
        </w:rPr>
      </w:pPr>
      <w:r>
        <w:t>Unidad 1.</w:t>
      </w:r>
      <w:r w:rsidR="00071D59">
        <w:t xml:space="preserve"> </w:t>
      </w:r>
      <w:r w:rsidR="00BF0B03">
        <w:t xml:space="preserve">Registro </w:t>
      </w:r>
      <w:proofErr w:type="spellStart"/>
      <w:r w:rsidR="00BF0B03">
        <w:t>esqueletal</w:t>
      </w:r>
      <w:proofErr w:type="spellEnd"/>
      <w:r w:rsidR="00BF0B03">
        <w:t xml:space="preserve"> y registro mortuorio. El contexto funerario como forma de aproximación a la cultura. Los restos óseos como </w:t>
      </w:r>
      <w:r w:rsidR="00141C0A">
        <w:t>producto de la vida del individuo y su cultura;</w:t>
      </w:r>
      <w:r w:rsidR="00BF0B03">
        <w:t xml:space="preserve"> el registro </w:t>
      </w:r>
      <w:proofErr w:type="spellStart"/>
      <w:r w:rsidR="00BF0B03">
        <w:t>esqueletal</w:t>
      </w:r>
      <w:proofErr w:type="spellEnd"/>
      <w:r w:rsidR="00BF0B03">
        <w:t xml:space="preserve"> como parte del registro arqueológico.</w:t>
      </w:r>
    </w:p>
    <w:p w:rsidR="003D36D9" w:rsidRDefault="00071D59" w:rsidP="007D1180">
      <w:pPr>
        <w:jc w:val="both"/>
      </w:pPr>
      <w:r>
        <w:t>Unidad</w:t>
      </w:r>
      <w:r w:rsidR="00BF0B03">
        <w:t xml:space="preserve"> 2</w:t>
      </w:r>
      <w:r w:rsidR="00D140A6">
        <w:t>.</w:t>
      </w:r>
      <w:r>
        <w:t xml:space="preserve"> </w:t>
      </w:r>
      <w:r w:rsidR="003D36D9">
        <w:t>Las inferencias de estatus y rol a partir del dato biológico. Inferencias de la organización social a partir de la reconstrucción de la dieta y los patrones de actividad. Reconstrucción de diferencias sociales y sanitarias por edad y sexo.</w:t>
      </w:r>
    </w:p>
    <w:p w:rsidR="003D36D9" w:rsidRDefault="003D36D9" w:rsidP="007D1180">
      <w:pPr>
        <w:jc w:val="both"/>
      </w:pPr>
      <w:r>
        <w:t xml:space="preserve">Unidad 3. Relaciones </w:t>
      </w:r>
      <w:proofErr w:type="spellStart"/>
      <w:r>
        <w:t>interpoblacionales</w:t>
      </w:r>
      <w:proofErr w:type="spellEnd"/>
      <w:r>
        <w:t>: contacto, intercambio y flujo g</w:t>
      </w:r>
      <w:r w:rsidR="00141C0A">
        <w:t xml:space="preserve">énico. </w:t>
      </w:r>
      <w:r>
        <w:t xml:space="preserve">Interpretación de los patrones geográficos de </w:t>
      </w:r>
      <w:proofErr w:type="spellStart"/>
      <w:r>
        <w:t>similaridad</w:t>
      </w:r>
      <w:proofErr w:type="spellEnd"/>
      <w:r>
        <w:t xml:space="preserve"> fenotípica y genética como producto de procesos de largo y corto plazo.</w:t>
      </w:r>
    </w:p>
    <w:p w:rsidR="003D36D9" w:rsidRDefault="00D140A6" w:rsidP="007D1180">
      <w:pPr>
        <w:jc w:val="both"/>
      </w:pPr>
      <w:r>
        <w:t>Unidad 4.</w:t>
      </w:r>
      <w:r w:rsidR="00071D59">
        <w:t xml:space="preserve"> </w:t>
      </w:r>
      <w:r w:rsidR="00141C0A">
        <w:t xml:space="preserve">Complejidad económica: su inferencia en el registro arqueológico y los aportes del </w:t>
      </w:r>
      <w:proofErr w:type="spellStart"/>
      <w:r w:rsidR="00141C0A">
        <w:t>resgitro</w:t>
      </w:r>
      <w:proofErr w:type="spellEnd"/>
      <w:r w:rsidR="00141C0A">
        <w:t xml:space="preserve"> </w:t>
      </w:r>
      <w:proofErr w:type="spellStart"/>
      <w:r w:rsidR="00141C0A">
        <w:t>esqueletal</w:t>
      </w:r>
      <w:proofErr w:type="spellEnd"/>
      <w:r w:rsidR="00141C0A">
        <w:t xml:space="preserve"> como “experimento crucial”. Conflicto interétnico y violencia. El caso de las tierras bajas del este de Uruguay.</w:t>
      </w:r>
    </w:p>
    <w:p w:rsidR="00071D59" w:rsidRDefault="00D140A6" w:rsidP="007D1180">
      <w:pPr>
        <w:jc w:val="both"/>
      </w:pPr>
      <w:r>
        <w:t xml:space="preserve"> </w:t>
      </w:r>
    </w:p>
    <w:p w:rsidR="00451F94" w:rsidRPr="00451F94" w:rsidRDefault="00451F94" w:rsidP="007D1180">
      <w:pPr>
        <w:jc w:val="both"/>
        <w:rPr>
          <w:u w:val="single"/>
        </w:rPr>
      </w:pPr>
      <w:r w:rsidRPr="00451F94">
        <w:rPr>
          <w:u w:val="single"/>
        </w:rPr>
        <w:t>A</w:t>
      </w:r>
      <w:r w:rsidR="00585C93" w:rsidRPr="00451F94">
        <w:rPr>
          <w:u w:val="single"/>
        </w:rPr>
        <w:t>ctividades prácticas desarrolladas en la actividad curricular</w:t>
      </w:r>
    </w:p>
    <w:p w:rsidR="00C23CEE" w:rsidRPr="00141C0A" w:rsidRDefault="00141C0A" w:rsidP="007D1180">
      <w:pPr>
        <w:jc w:val="both"/>
        <w:rPr>
          <w:lang w:val="es-UY"/>
        </w:rPr>
      </w:pPr>
      <w:r>
        <w:t xml:space="preserve">No se </w:t>
      </w:r>
      <w:proofErr w:type="spellStart"/>
      <w:r>
        <w:t>prev</w:t>
      </w:r>
      <w:proofErr w:type="spellEnd"/>
      <w:r>
        <w:rPr>
          <w:lang w:val="es-UY"/>
        </w:rPr>
        <w:t>é la realización de actividades prácticas en el curso.</w:t>
      </w:r>
    </w:p>
    <w:p w:rsidR="00141C0A" w:rsidRDefault="00141C0A" w:rsidP="007D1180">
      <w:pPr>
        <w:jc w:val="both"/>
      </w:pPr>
    </w:p>
    <w:p w:rsidR="00B462DE" w:rsidRPr="00B462DE" w:rsidRDefault="00B462DE" w:rsidP="007D1180">
      <w:pPr>
        <w:jc w:val="both"/>
        <w:rPr>
          <w:lang w:val="es-UY"/>
        </w:rPr>
      </w:pPr>
      <w:r w:rsidRPr="00451F94">
        <w:rPr>
          <w:u w:val="single"/>
          <w:lang w:val="es-UY"/>
        </w:rPr>
        <w:t xml:space="preserve">Bibliografía </w:t>
      </w:r>
      <w:r w:rsidR="00141C0A" w:rsidRPr="00451F94">
        <w:rPr>
          <w:u w:val="single"/>
          <w:lang w:val="es-UY"/>
        </w:rPr>
        <w:t>general</w:t>
      </w:r>
      <w:r w:rsidR="00141C0A">
        <w:rPr>
          <w:lang w:val="es-UY"/>
        </w:rPr>
        <w:t xml:space="preserve"> </w:t>
      </w:r>
      <w:r w:rsidRPr="00B462DE">
        <w:rPr>
          <w:lang w:val="es-UY"/>
        </w:rPr>
        <w:t>(</w:t>
      </w:r>
      <w:r w:rsidR="00141C0A">
        <w:rPr>
          <w:lang w:val="es-UY"/>
        </w:rPr>
        <w:t xml:space="preserve">la bibliografía específica </w:t>
      </w:r>
      <w:r w:rsidR="002B5D06">
        <w:rPr>
          <w:lang w:val="es-UY"/>
        </w:rPr>
        <w:t>se indicará en clase)</w:t>
      </w:r>
    </w:p>
    <w:p w:rsidR="00141C0A" w:rsidRPr="00141C0A" w:rsidRDefault="00141C0A" w:rsidP="007D1180">
      <w:pPr>
        <w:jc w:val="both"/>
        <w:rPr>
          <w:lang w:val="en-US"/>
        </w:rPr>
      </w:pPr>
      <w:proofErr w:type="spellStart"/>
      <w:r w:rsidRPr="00141C0A">
        <w:rPr>
          <w:lang w:val="en-US"/>
        </w:rPr>
        <w:t>Armelagos</w:t>
      </w:r>
      <w:proofErr w:type="spellEnd"/>
      <w:r w:rsidRPr="00141C0A">
        <w:rPr>
          <w:lang w:val="en-US"/>
        </w:rPr>
        <w:t xml:space="preserve">, G. 2003. </w:t>
      </w:r>
      <w:proofErr w:type="spellStart"/>
      <w:proofErr w:type="gramStart"/>
      <w:r w:rsidRPr="00141C0A">
        <w:rPr>
          <w:lang w:val="en-US"/>
        </w:rPr>
        <w:t>Bioarchaeology</w:t>
      </w:r>
      <w:proofErr w:type="spellEnd"/>
      <w:r w:rsidRPr="00141C0A">
        <w:rPr>
          <w:lang w:val="en-US"/>
        </w:rPr>
        <w:t xml:space="preserve"> as anthropology.</w:t>
      </w:r>
      <w:proofErr w:type="gramEnd"/>
      <w:r w:rsidRPr="00141C0A">
        <w:rPr>
          <w:lang w:val="en-US"/>
        </w:rPr>
        <w:t xml:space="preserve"> Archae</w:t>
      </w:r>
      <w:r w:rsidR="0031055E">
        <w:rPr>
          <w:lang w:val="en-US"/>
        </w:rPr>
        <w:t xml:space="preserve">ological Papers of the American </w:t>
      </w:r>
      <w:r w:rsidRPr="00141C0A">
        <w:rPr>
          <w:lang w:val="en-US"/>
        </w:rPr>
        <w:t>Anthropological Association 13: 27-40.</w:t>
      </w:r>
    </w:p>
    <w:p w:rsidR="0031055E" w:rsidRDefault="0031055E" w:rsidP="007D1180">
      <w:pPr>
        <w:jc w:val="both"/>
        <w:rPr>
          <w:lang w:val="en-US"/>
        </w:rPr>
      </w:pPr>
      <w:proofErr w:type="spellStart"/>
      <w:r w:rsidRPr="0031055E">
        <w:rPr>
          <w:lang w:val="en-US"/>
        </w:rPr>
        <w:t>Ardren</w:t>
      </w:r>
      <w:proofErr w:type="spellEnd"/>
      <w:r w:rsidRPr="0031055E">
        <w:rPr>
          <w:lang w:val="en-US"/>
        </w:rPr>
        <w:t xml:space="preserve"> T. 2008. </w:t>
      </w:r>
      <w:proofErr w:type="gramStart"/>
      <w:r w:rsidRPr="0031055E">
        <w:rPr>
          <w:lang w:val="en-US"/>
        </w:rPr>
        <w:t xml:space="preserve">Studies of Gender in the </w:t>
      </w:r>
      <w:proofErr w:type="spellStart"/>
      <w:r w:rsidRPr="0031055E">
        <w:rPr>
          <w:lang w:val="en-US"/>
        </w:rPr>
        <w:t>Prehispanic</w:t>
      </w:r>
      <w:proofErr w:type="spellEnd"/>
      <w:r w:rsidRPr="0031055E">
        <w:rPr>
          <w:lang w:val="en-US"/>
        </w:rPr>
        <w:t xml:space="preserve"> Americas.</w:t>
      </w:r>
      <w:proofErr w:type="gramEnd"/>
      <w:r w:rsidRPr="0031055E">
        <w:rPr>
          <w:lang w:val="en-US"/>
        </w:rPr>
        <w:t xml:space="preserve"> Journal of Archaeological Research 16:1-35.</w:t>
      </w:r>
    </w:p>
    <w:p w:rsidR="00141C0A" w:rsidRPr="00141C0A" w:rsidRDefault="00141C0A" w:rsidP="007D1180">
      <w:pPr>
        <w:jc w:val="both"/>
        <w:rPr>
          <w:lang w:val="en-US"/>
        </w:rPr>
      </w:pPr>
      <w:r w:rsidRPr="00141C0A">
        <w:rPr>
          <w:lang w:val="en-US"/>
        </w:rPr>
        <w:t xml:space="preserve">Arnold, J. 1996. </w:t>
      </w:r>
      <w:proofErr w:type="gramStart"/>
      <w:r w:rsidRPr="00141C0A">
        <w:rPr>
          <w:lang w:val="en-US"/>
        </w:rPr>
        <w:t>The archaeology of complex hunter-gatherers.</w:t>
      </w:r>
      <w:proofErr w:type="gramEnd"/>
      <w:r w:rsidRPr="00141C0A">
        <w:rPr>
          <w:lang w:val="en-US"/>
        </w:rPr>
        <w:t xml:space="preserve"> J</w:t>
      </w:r>
      <w:r w:rsidR="0031055E">
        <w:rPr>
          <w:lang w:val="en-US"/>
        </w:rPr>
        <w:t xml:space="preserve">ournal of Archaeological Method </w:t>
      </w:r>
      <w:r w:rsidRPr="00141C0A">
        <w:rPr>
          <w:lang w:val="en-US"/>
        </w:rPr>
        <w:t>and Theory 3: 77-126.</w:t>
      </w:r>
    </w:p>
    <w:p w:rsidR="00141C0A" w:rsidRPr="0031055E" w:rsidRDefault="00141C0A" w:rsidP="007D1180">
      <w:pPr>
        <w:jc w:val="both"/>
        <w:rPr>
          <w:lang w:val="en-US"/>
        </w:rPr>
      </w:pPr>
      <w:bookmarkStart w:id="0" w:name="_GoBack"/>
      <w:bookmarkEnd w:id="0"/>
      <w:proofErr w:type="gramStart"/>
      <w:r w:rsidRPr="00141C0A">
        <w:rPr>
          <w:lang w:val="en-US"/>
        </w:rPr>
        <w:t xml:space="preserve">Bello, S., A. </w:t>
      </w:r>
      <w:proofErr w:type="spellStart"/>
      <w:r w:rsidRPr="00141C0A">
        <w:rPr>
          <w:lang w:val="en-US"/>
        </w:rPr>
        <w:t>Thomann</w:t>
      </w:r>
      <w:proofErr w:type="spellEnd"/>
      <w:r w:rsidRPr="00141C0A">
        <w:rPr>
          <w:lang w:val="en-US"/>
        </w:rPr>
        <w:t xml:space="preserve">, M. </w:t>
      </w:r>
      <w:proofErr w:type="spellStart"/>
      <w:r w:rsidRPr="00141C0A">
        <w:rPr>
          <w:lang w:val="en-US"/>
        </w:rPr>
        <w:t>Signoli</w:t>
      </w:r>
      <w:proofErr w:type="spellEnd"/>
      <w:r w:rsidRPr="00141C0A">
        <w:rPr>
          <w:lang w:val="en-US"/>
        </w:rPr>
        <w:t xml:space="preserve">, O. </w:t>
      </w:r>
      <w:proofErr w:type="spellStart"/>
      <w:r w:rsidRPr="00141C0A">
        <w:rPr>
          <w:lang w:val="en-US"/>
        </w:rPr>
        <w:t>Dutour</w:t>
      </w:r>
      <w:proofErr w:type="spellEnd"/>
      <w:r w:rsidRPr="00141C0A">
        <w:rPr>
          <w:lang w:val="en-US"/>
        </w:rPr>
        <w:t xml:space="preserve"> y P. Andrews.</w:t>
      </w:r>
      <w:proofErr w:type="gramEnd"/>
      <w:r w:rsidRPr="00141C0A">
        <w:rPr>
          <w:lang w:val="en-US"/>
        </w:rPr>
        <w:t xml:space="preserve"> 2006. Age and</w:t>
      </w:r>
      <w:r w:rsidR="0031055E">
        <w:rPr>
          <w:lang w:val="en-US"/>
        </w:rPr>
        <w:t xml:space="preserve"> sex bias in the reconstruction </w:t>
      </w:r>
      <w:r w:rsidRPr="00141C0A">
        <w:rPr>
          <w:lang w:val="en-US"/>
        </w:rPr>
        <w:t>of past population structures. American Journa</w:t>
      </w:r>
      <w:r w:rsidR="0031055E">
        <w:rPr>
          <w:lang w:val="en-US"/>
        </w:rPr>
        <w:t>l of Physical Anthropology 129:</w:t>
      </w:r>
      <w:r w:rsidRPr="00141C0A">
        <w:rPr>
          <w:lang w:val="es-UY"/>
        </w:rPr>
        <w:t>24-38.</w:t>
      </w:r>
    </w:p>
    <w:p w:rsidR="00141C0A" w:rsidRPr="00141C0A" w:rsidRDefault="00141C0A" w:rsidP="007D1180">
      <w:pPr>
        <w:jc w:val="both"/>
        <w:rPr>
          <w:lang w:val="es-UY"/>
        </w:rPr>
      </w:pPr>
      <w:proofErr w:type="spellStart"/>
      <w:r w:rsidRPr="00141C0A">
        <w:rPr>
          <w:lang w:val="es-UY"/>
        </w:rPr>
        <w:t>Bracco</w:t>
      </w:r>
      <w:proofErr w:type="spellEnd"/>
      <w:r w:rsidRPr="00141C0A">
        <w:rPr>
          <w:lang w:val="es-UY"/>
        </w:rPr>
        <w:t xml:space="preserve">, R. 2006. Montículos de la Cuenca de la Laguna </w:t>
      </w:r>
      <w:proofErr w:type="spellStart"/>
      <w:r w:rsidRPr="00141C0A">
        <w:rPr>
          <w:lang w:val="es-UY"/>
        </w:rPr>
        <w:t>Merín</w:t>
      </w:r>
      <w:proofErr w:type="spellEnd"/>
      <w:r w:rsidRPr="00141C0A">
        <w:rPr>
          <w:lang w:val="es-UY"/>
        </w:rPr>
        <w:t>: ti</w:t>
      </w:r>
      <w:r w:rsidR="003148AC">
        <w:rPr>
          <w:lang w:val="es-UY"/>
        </w:rPr>
        <w:t xml:space="preserve">empo, espacio y sociedad. </w:t>
      </w:r>
      <w:proofErr w:type="spellStart"/>
      <w:r w:rsidR="003148AC">
        <w:rPr>
          <w:lang w:val="es-UY"/>
        </w:rPr>
        <w:t>Latin</w:t>
      </w:r>
      <w:proofErr w:type="spellEnd"/>
      <w:r w:rsidR="003148AC">
        <w:rPr>
          <w:lang w:val="es-UY"/>
        </w:rPr>
        <w:t xml:space="preserve"> </w:t>
      </w:r>
      <w:r w:rsidRPr="00141C0A">
        <w:rPr>
          <w:lang w:val="es-UY"/>
        </w:rPr>
        <w:t xml:space="preserve">American </w:t>
      </w:r>
      <w:proofErr w:type="spellStart"/>
      <w:r w:rsidRPr="00141C0A">
        <w:rPr>
          <w:lang w:val="es-UY"/>
        </w:rPr>
        <w:t>Antiquity</w:t>
      </w:r>
      <w:proofErr w:type="spellEnd"/>
      <w:r w:rsidRPr="00141C0A">
        <w:rPr>
          <w:lang w:val="es-UY"/>
        </w:rPr>
        <w:t xml:space="preserve"> 17: 511-540.</w:t>
      </w:r>
    </w:p>
    <w:p w:rsidR="00141C0A" w:rsidRPr="00141C0A" w:rsidRDefault="00141C0A" w:rsidP="007D1180">
      <w:pPr>
        <w:jc w:val="both"/>
        <w:rPr>
          <w:lang w:val="es-UY"/>
        </w:rPr>
      </w:pPr>
      <w:proofErr w:type="spellStart"/>
      <w:r w:rsidRPr="00141C0A">
        <w:rPr>
          <w:lang w:val="es-UY"/>
        </w:rPr>
        <w:lastRenderedPageBreak/>
        <w:t>Carnese</w:t>
      </w:r>
      <w:proofErr w:type="spellEnd"/>
      <w:r w:rsidRPr="00141C0A">
        <w:rPr>
          <w:lang w:val="es-UY"/>
        </w:rPr>
        <w:t xml:space="preserve">, F. 2011. Los aportes de la </w:t>
      </w:r>
      <w:proofErr w:type="spellStart"/>
      <w:r w:rsidRPr="00141C0A">
        <w:rPr>
          <w:lang w:val="es-UY"/>
        </w:rPr>
        <w:t>bioantropología</w:t>
      </w:r>
      <w:proofErr w:type="spellEnd"/>
      <w:r w:rsidRPr="00141C0A">
        <w:rPr>
          <w:lang w:val="es-UY"/>
        </w:rPr>
        <w:t xml:space="preserve"> al conocimien</w:t>
      </w:r>
      <w:r w:rsidR="003148AC">
        <w:rPr>
          <w:lang w:val="es-UY"/>
        </w:rPr>
        <w:t xml:space="preserve">to de la variabilidad biológica </w:t>
      </w:r>
      <w:r w:rsidRPr="00141C0A">
        <w:rPr>
          <w:lang w:val="es-UY"/>
        </w:rPr>
        <w:t xml:space="preserve">de los </w:t>
      </w:r>
      <w:proofErr w:type="spellStart"/>
      <w:r w:rsidRPr="00141C0A">
        <w:rPr>
          <w:lang w:val="es-UY"/>
        </w:rPr>
        <w:t>sudamerindios</w:t>
      </w:r>
      <w:proofErr w:type="spellEnd"/>
      <w:r w:rsidRPr="00141C0A">
        <w:rPr>
          <w:lang w:val="es-UY"/>
        </w:rPr>
        <w:t xml:space="preserve">: descripción y análisis. </w:t>
      </w:r>
      <w:proofErr w:type="spellStart"/>
      <w:r w:rsidRPr="00141C0A">
        <w:rPr>
          <w:lang w:val="es-UY"/>
        </w:rPr>
        <w:t>Antipoda</w:t>
      </w:r>
      <w:proofErr w:type="spellEnd"/>
      <w:r w:rsidRPr="00141C0A">
        <w:rPr>
          <w:lang w:val="es-UY"/>
        </w:rPr>
        <w:t>. Revista de antropología y arqueología</w:t>
      </w:r>
      <w:r w:rsidR="003148AC">
        <w:rPr>
          <w:lang w:val="es-UY"/>
        </w:rPr>
        <w:t xml:space="preserve"> </w:t>
      </w:r>
      <w:r w:rsidRPr="00141C0A">
        <w:rPr>
          <w:lang w:val="es-UY"/>
        </w:rPr>
        <w:t>13: 29-54.</w:t>
      </w:r>
    </w:p>
    <w:p w:rsidR="0031055E" w:rsidRDefault="0031055E" w:rsidP="007D1180">
      <w:pPr>
        <w:jc w:val="both"/>
        <w:rPr>
          <w:lang w:val="en-US"/>
        </w:rPr>
      </w:pPr>
      <w:r w:rsidRPr="0031055E">
        <w:rPr>
          <w:lang w:val="en-US"/>
        </w:rPr>
        <w:t>Flannery KV. 1982. The Golden Marshalltown: A Parable for the Archeology of the 1980s. Amer</w:t>
      </w:r>
      <w:r w:rsidR="00451F94">
        <w:rPr>
          <w:lang w:val="en-US"/>
        </w:rPr>
        <w:t>ican</w:t>
      </w:r>
      <w:r w:rsidRPr="0031055E">
        <w:rPr>
          <w:lang w:val="en-US"/>
        </w:rPr>
        <w:t xml:space="preserve"> Anthrop</w:t>
      </w:r>
      <w:r w:rsidR="00451F94">
        <w:rPr>
          <w:lang w:val="en-US"/>
        </w:rPr>
        <w:t>ologist</w:t>
      </w:r>
      <w:r w:rsidRPr="0031055E">
        <w:rPr>
          <w:lang w:val="en-US"/>
        </w:rPr>
        <w:t xml:space="preserve"> 84:265-278.</w:t>
      </w:r>
    </w:p>
    <w:p w:rsidR="003C4DA9" w:rsidRDefault="003C4DA9" w:rsidP="007D1180">
      <w:pPr>
        <w:jc w:val="both"/>
        <w:rPr>
          <w:lang w:val="en-US"/>
        </w:rPr>
      </w:pPr>
      <w:proofErr w:type="spellStart"/>
      <w:r w:rsidRPr="003C4DA9">
        <w:rPr>
          <w:lang w:val="en-US"/>
        </w:rPr>
        <w:t>Halcrow</w:t>
      </w:r>
      <w:proofErr w:type="spellEnd"/>
      <w:r w:rsidRPr="003C4DA9">
        <w:rPr>
          <w:lang w:val="en-US"/>
        </w:rPr>
        <w:t xml:space="preserve"> S, </w:t>
      </w:r>
      <w:proofErr w:type="spellStart"/>
      <w:r w:rsidRPr="003C4DA9">
        <w:rPr>
          <w:lang w:val="en-US"/>
        </w:rPr>
        <w:t>Tayles</w:t>
      </w:r>
      <w:proofErr w:type="spellEnd"/>
      <w:r w:rsidRPr="003C4DA9">
        <w:rPr>
          <w:lang w:val="en-US"/>
        </w:rPr>
        <w:t xml:space="preserve"> N. 2008. The </w:t>
      </w:r>
      <w:proofErr w:type="spellStart"/>
      <w:r w:rsidRPr="003C4DA9">
        <w:rPr>
          <w:lang w:val="en-US"/>
        </w:rPr>
        <w:t>Bioarchaeological</w:t>
      </w:r>
      <w:proofErr w:type="spellEnd"/>
      <w:r w:rsidRPr="003C4DA9">
        <w:rPr>
          <w:lang w:val="en-US"/>
        </w:rPr>
        <w:t xml:space="preserve"> Investigation of Childhood and Social Age: Problems and Prospects. Journal of Archaeological Method and Theory 15:190-215.</w:t>
      </w:r>
    </w:p>
    <w:p w:rsidR="003C4DA9" w:rsidRDefault="003C4DA9" w:rsidP="007D1180">
      <w:pPr>
        <w:jc w:val="both"/>
        <w:rPr>
          <w:lang w:val="en-US"/>
        </w:rPr>
      </w:pPr>
      <w:r>
        <w:rPr>
          <w:lang w:val="en-US"/>
        </w:rPr>
        <w:t>K</w:t>
      </w:r>
      <w:r w:rsidRPr="003C4DA9">
        <w:rPr>
          <w:lang w:val="en-US"/>
        </w:rPr>
        <w:t xml:space="preserve">atzenberg MA. 2008. Stable Isotope Analysis: A Tool for Studying Past Diet, Demography, and Life History. En: Katzenberg MA, y Saunders SR, </w:t>
      </w:r>
      <w:proofErr w:type="spellStart"/>
      <w:r w:rsidRPr="003C4DA9">
        <w:rPr>
          <w:lang w:val="en-US"/>
        </w:rPr>
        <w:t>editores</w:t>
      </w:r>
      <w:proofErr w:type="spellEnd"/>
      <w:r w:rsidRPr="003C4DA9">
        <w:rPr>
          <w:lang w:val="en-US"/>
        </w:rPr>
        <w:t xml:space="preserve">. </w:t>
      </w:r>
      <w:proofErr w:type="gramStart"/>
      <w:r w:rsidRPr="003C4DA9">
        <w:rPr>
          <w:lang w:val="en-US"/>
        </w:rPr>
        <w:t>Biological Anthropology of the Human Skeleton, 2nd Edition.</w:t>
      </w:r>
      <w:proofErr w:type="gramEnd"/>
      <w:r w:rsidRPr="003C4DA9">
        <w:rPr>
          <w:lang w:val="en-US"/>
        </w:rPr>
        <w:t xml:space="preserve"> Hoboken, NJ: Wiley-</w:t>
      </w:r>
      <w:proofErr w:type="spellStart"/>
      <w:r w:rsidRPr="003C4DA9">
        <w:rPr>
          <w:lang w:val="en-US"/>
        </w:rPr>
        <w:t>Liss</w:t>
      </w:r>
      <w:proofErr w:type="spellEnd"/>
      <w:r w:rsidRPr="003C4DA9">
        <w:rPr>
          <w:lang w:val="en-US"/>
        </w:rPr>
        <w:t xml:space="preserve">. </w:t>
      </w:r>
      <w:proofErr w:type="gramStart"/>
      <w:r w:rsidRPr="003C4DA9">
        <w:rPr>
          <w:lang w:val="en-US"/>
        </w:rPr>
        <w:t>p</w:t>
      </w:r>
      <w:proofErr w:type="gramEnd"/>
      <w:r w:rsidRPr="003C4DA9">
        <w:rPr>
          <w:lang w:val="en-US"/>
        </w:rPr>
        <w:t xml:space="preserve"> 413-441.</w:t>
      </w:r>
    </w:p>
    <w:p w:rsidR="00141C0A" w:rsidRPr="00141C0A" w:rsidRDefault="00141C0A" w:rsidP="007D1180">
      <w:pPr>
        <w:jc w:val="both"/>
        <w:rPr>
          <w:lang w:val="en-US"/>
        </w:rPr>
      </w:pPr>
      <w:r w:rsidRPr="00141C0A">
        <w:rPr>
          <w:lang w:val="en-US"/>
        </w:rPr>
        <w:t>Keeley, L. 1988. Hunter-gatherer economic complexity and “populat</w:t>
      </w:r>
      <w:r w:rsidR="00451F94">
        <w:rPr>
          <w:lang w:val="en-US"/>
        </w:rPr>
        <w:t xml:space="preserve">ion pressure”: a cross-cultural </w:t>
      </w:r>
      <w:r w:rsidRPr="00141C0A">
        <w:rPr>
          <w:lang w:val="en-US"/>
        </w:rPr>
        <w:t>analysis. Journal of Anthropological Archaeology 7: 373-411.</w:t>
      </w:r>
    </w:p>
    <w:p w:rsidR="00141C0A" w:rsidRPr="00141C0A" w:rsidRDefault="00141C0A" w:rsidP="007D1180">
      <w:pPr>
        <w:jc w:val="both"/>
        <w:rPr>
          <w:lang w:val="en-US"/>
        </w:rPr>
      </w:pPr>
      <w:r w:rsidRPr="00141C0A">
        <w:rPr>
          <w:lang w:val="en-US"/>
        </w:rPr>
        <w:t>Lambert, P. 2002. The archaeology of war: a North A</w:t>
      </w:r>
      <w:r w:rsidR="00451F94">
        <w:rPr>
          <w:lang w:val="en-US"/>
        </w:rPr>
        <w:t xml:space="preserve">merican perspective. Journal of Archaeological </w:t>
      </w:r>
      <w:r w:rsidRPr="00141C0A">
        <w:rPr>
          <w:lang w:val="en-US"/>
        </w:rPr>
        <w:t>Research 10: 207-241.</w:t>
      </w:r>
    </w:p>
    <w:p w:rsidR="003C4DA9" w:rsidRDefault="003C4DA9" w:rsidP="007D1180">
      <w:pPr>
        <w:jc w:val="both"/>
        <w:rPr>
          <w:lang w:val="en-US"/>
        </w:rPr>
      </w:pPr>
      <w:r w:rsidRPr="003C4DA9">
        <w:rPr>
          <w:lang w:val="en-US"/>
        </w:rPr>
        <w:t xml:space="preserve">Larsen CS. 1987. </w:t>
      </w:r>
      <w:proofErr w:type="spellStart"/>
      <w:proofErr w:type="gramStart"/>
      <w:r w:rsidRPr="003C4DA9">
        <w:rPr>
          <w:lang w:val="en-US"/>
        </w:rPr>
        <w:t>Bioarchaeological</w:t>
      </w:r>
      <w:proofErr w:type="spellEnd"/>
      <w:r w:rsidRPr="003C4DA9">
        <w:rPr>
          <w:lang w:val="en-US"/>
        </w:rPr>
        <w:t xml:space="preserve"> Interpretations of Subsistence Economy and Behavior from Human Skeletal Remains.</w:t>
      </w:r>
      <w:proofErr w:type="gramEnd"/>
      <w:r w:rsidRPr="003C4DA9">
        <w:rPr>
          <w:lang w:val="en-US"/>
        </w:rPr>
        <w:t xml:space="preserve"> Advances in Archaeological Method and Theory 10:339-445.</w:t>
      </w:r>
    </w:p>
    <w:p w:rsidR="003C4DA9" w:rsidRDefault="003C4DA9" w:rsidP="007D1180">
      <w:pPr>
        <w:jc w:val="both"/>
        <w:rPr>
          <w:lang w:val="en-US"/>
        </w:rPr>
      </w:pPr>
      <w:proofErr w:type="gramStart"/>
      <w:r w:rsidRPr="003C4DA9">
        <w:rPr>
          <w:lang w:val="en-US"/>
        </w:rPr>
        <w:t>Meadow RH.</w:t>
      </w:r>
      <w:proofErr w:type="gramEnd"/>
      <w:r w:rsidRPr="003C4DA9">
        <w:rPr>
          <w:lang w:val="en-US"/>
        </w:rPr>
        <w:t xml:space="preserve"> 1980. Animal </w:t>
      </w:r>
      <w:proofErr w:type="gramStart"/>
      <w:r w:rsidRPr="003C4DA9">
        <w:rPr>
          <w:lang w:val="en-US"/>
        </w:rPr>
        <w:t>Bones :</w:t>
      </w:r>
      <w:proofErr w:type="gramEnd"/>
      <w:r w:rsidRPr="003C4DA9">
        <w:rPr>
          <w:lang w:val="en-US"/>
        </w:rPr>
        <w:t xml:space="preserve"> Problems for the Archaeologist together with some possible solutions. </w:t>
      </w:r>
      <w:proofErr w:type="spellStart"/>
      <w:r w:rsidRPr="003C4DA9">
        <w:rPr>
          <w:lang w:val="en-US"/>
        </w:rPr>
        <w:t>Paléorient</w:t>
      </w:r>
      <w:proofErr w:type="spellEnd"/>
      <w:r w:rsidRPr="003C4DA9">
        <w:rPr>
          <w:lang w:val="en-US"/>
        </w:rPr>
        <w:t xml:space="preserve"> 6:65-7</w:t>
      </w:r>
      <w:r>
        <w:rPr>
          <w:lang w:val="en-US"/>
        </w:rPr>
        <w:t>7.</w:t>
      </w:r>
    </w:p>
    <w:p w:rsidR="003C4DA9" w:rsidRDefault="003C4DA9" w:rsidP="007D1180">
      <w:pPr>
        <w:jc w:val="both"/>
        <w:rPr>
          <w:lang w:val="en-US"/>
        </w:rPr>
      </w:pPr>
      <w:r w:rsidRPr="003C4DA9">
        <w:rPr>
          <w:lang w:val="en-US"/>
        </w:rPr>
        <w:t xml:space="preserve">Milner GR. 1995. </w:t>
      </w:r>
      <w:proofErr w:type="gramStart"/>
      <w:r w:rsidRPr="003C4DA9">
        <w:rPr>
          <w:lang w:val="en-US"/>
        </w:rPr>
        <w:t>An Osteological Perspective on Prehistoric Warfare.</w:t>
      </w:r>
      <w:proofErr w:type="gramEnd"/>
      <w:r w:rsidRPr="003C4DA9">
        <w:rPr>
          <w:lang w:val="en-US"/>
        </w:rPr>
        <w:t xml:space="preserve"> En: Beck LA, editor. </w:t>
      </w:r>
      <w:proofErr w:type="gramStart"/>
      <w:r w:rsidRPr="003C4DA9">
        <w:rPr>
          <w:lang w:val="en-US"/>
        </w:rPr>
        <w:t>Regional Approaches to Mortuary Analysis.</w:t>
      </w:r>
      <w:proofErr w:type="gramEnd"/>
      <w:r w:rsidRPr="003C4DA9">
        <w:rPr>
          <w:lang w:val="en-US"/>
        </w:rPr>
        <w:t xml:space="preserve"> New York: Plenum Press. </w:t>
      </w:r>
      <w:proofErr w:type="gramStart"/>
      <w:r w:rsidRPr="003C4DA9">
        <w:rPr>
          <w:lang w:val="en-US"/>
        </w:rPr>
        <w:t>p</w:t>
      </w:r>
      <w:proofErr w:type="gramEnd"/>
      <w:r w:rsidRPr="003C4DA9">
        <w:rPr>
          <w:lang w:val="en-US"/>
        </w:rPr>
        <w:t xml:space="preserve"> 221-244.</w:t>
      </w:r>
    </w:p>
    <w:p w:rsidR="00141C0A" w:rsidRPr="00141C0A" w:rsidRDefault="003C4DA9" w:rsidP="007D1180">
      <w:pPr>
        <w:jc w:val="both"/>
        <w:rPr>
          <w:lang w:val="en-US"/>
        </w:rPr>
      </w:pPr>
      <w:proofErr w:type="spellStart"/>
      <w:r w:rsidRPr="003C4DA9">
        <w:rPr>
          <w:lang w:val="en-US"/>
        </w:rPr>
        <w:t>Steckel</w:t>
      </w:r>
      <w:proofErr w:type="spellEnd"/>
      <w:r w:rsidRPr="003C4DA9">
        <w:rPr>
          <w:lang w:val="en-US"/>
        </w:rPr>
        <w:t xml:space="preserve"> RH, Rose JC, Spencer Larsen C, Walker PL. 2002. </w:t>
      </w:r>
      <w:proofErr w:type="gramStart"/>
      <w:r w:rsidRPr="003C4DA9">
        <w:rPr>
          <w:lang w:val="en-US"/>
        </w:rPr>
        <w:t>Skeletal health in the Western Hemisphere from 4000 B.C. to the present.</w:t>
      </w:r>
      <w:proofErr w:type="gramEnd"/>
      <w:r w:rsidRPr="003C4DA9">
        <w:rPr>
          <w:lang w:val="en-US"/>
        </w:rPr>
        <w:t xml:space="preserve"> </w:t>
      </w:r>
      <w:proofErr w:type="spellStart"/>
      <w:r w:rsidRPr="003C4DA9">
        <w:rPr>
          <w:lang w:val="en-US"/>
        </w:rPr>
        <w:t>Evol</w:t>
      </w:r>
      <w:proofErr w:type="spellEnd"/>
      <w:r w:rsidRPr="003C4DA9">
        <w:rPr>
          <w:lang w:val="en-US"/>
        </w:rPr>
        <w:t xml:space="preserve"> </w:t>
      </w:r>
      <w:proofErr w:type="spellStart"/>
      <w:r w:rsidRPr="003C4DA9">
        <w:rPr>
          <w:lang w:val="en-US"/>
        </w:rPr>
        <w:t>Anthropol</w:t>
      </w:r>
      <w:proofErr w:type="spellEnd"/>
      <w:r w:rsidRPr="003C4DA9">
        <w:rPr>
          <w:lang w:val="en-US"/>
        </w:rPr>
        <w:t xml:space="preserve"> 11:142-155.</w:t>
      </w:r>
      <w:r w:rsidR="00141C0A" w:rsidRPr="00141C0A">
        <w:rPr>
          <w:lang w:val="en-US"/>
        </w:rPr>
        <w:t xml:space="preserve">Tainter, J. 1978. </w:t>
      </w:r>
      <w:proofErr w:type="gramStart"/>
      <w:r w:rsidR="00141C0A" w:rsidRPr="00141C0A">
        <w:rPr>
          <w:lang w:val="en-US"/>
        </w:rPr>
        <w:t>Mortuary practices and the study of prehistoric social syst</w:t>
      </w:r>
      <w:r w:rsidR="00451F94">
        <w:rPr>
          <w:lang w:val="en-US"/>
        </w:rPr>
        <w:t>ems.</w:t>
      </w:r>
      <w:proofErr w:type="gramEnd"/>
      <w:r w:rsidR="00451F94">
        <w:rPr>
          <w:lang w:val="en-US"/>
        </w:rPr>
        <w:t xml:space="preserve"> Advances in Archaeological </w:t>
      </w:r>
      <w:r w:rsidR="00141C0A" w:rsidRPr="00141C0A">
        <w:rPr>
          <w:lang w:val="en-US"/>
        </w:rPr>
        <w:t>Method and Theory 1: 105-141.</w:t>
      </w:r>
    </w:p>
    <w:p w:rsidR="00141C0A" w:rsidRPr="00141C0A" w:rsidRDefault="00141C0A" w:rsidP="007D1180">
      <w:pPr>
        <w:jc w:val="both"/>
        <w:rPr>
          <w:lang w:val="en-US"/>
        </w:rPr>
      </w:pPr>
      <w:r w:rsidRPr="00141C0A">
        <w:rPr>
          <w:lang w:val="en-US"/>
        </w:rPr>
        <w:t>Walker, P. 1995. Problems of preservation and sexism in sexing: some lessons from historical</w:t>
      </w:r>
      <w:r w:rsidR="00451F94">
        <w:rPr>
          <w:lang w:val="en-US"/>
        </w:rPr>
        <w:t xml:space="preserve"> </w:t>
      </w:r>
      <w:r w:rsidRPr="00141C0A">
        <w:rPr>
          <w:lang w:val="en-US"/>
        </w:rPr>
        <w:t xml:space="preserve">collections for </w:t>
      </w:r>
      <w:proofErr w:type="spellStart"/>
      <w:r w:rsidRPr="00141C0A">
        <w:rPr>
          <w:lang w:val="en-US"/>
        </w:rPr>
        <w:t>palaeodemographers</w:t>
      </w:r>
      <w:proofErr w:type="spellEnd"/>
      <w:r w:rsidRPr="00141C0A">
        <w:rPr>
          <w:lang w:val="en-US"/>
        </w:rPr>
        <w:t xml:space="preserve">. En S. Saunders </w:t>
      </w:r>
      <w:r w:rsidR="00451F94">
        <w:rPr>
          <w:lang w:val="en-US"/>
        </w:rPr>
        <w:t xml:space="preserve">y A. Herring (eds.), Grave reflections: </w:t>
      </w:r>
      <w:r w:rsidRPr="00141C0A">
        <w:rPr>
          <w:lang w:val="en-US"/>
        </w:rPr>
        <w:t>portraying the past through cemetery studies: 31-47. Toronto, Canadian Scholar’s Press.</w:t>
      </w:r>
    </w:p>
    <w:p w:rsidR="00141C0A" w:rsidRPr="00141C0A" w:rsidRDefault="00141C0A" w:rsidP="007D1180">
      <w:pPr>
        <w:jc w:val="both"/>
        <w:rPr>
          <w:lang w:val="en-US"/>
        </w:rPr>
      </w:pPr>
      <w:r w:rsidRPr="00141C0A">
        <w:rPr>
          <w:lang w:val="en-US"/>
        </w:rPr>
        <w:t xml:space="preserve">Walker, P. 2001. </w:t>
      </w:r>
      <w:proofErr w:type="gramStart"/>
      <w:r w:rsidRPr="00141C0A">
        <w:rPr>
          <w:lang w:val="en-US"/>
        </w:rPr>
        <w:t xml:space="preserve">A </w:t>
      </w:r>
      <w:proofErr w:type="spellStart"/>
      <w:r w:rsidRPr="00141C0A">
        <w:rPr>
          <w:lang w:val="en-US"/>
        </w:rPr>
        <w:t>bioarchaeological</w:t>
      </w:r>
      <w:proofErr w:type="spellEnd"/>
      <w:r w:rsidRPr="00141C0A">
        <w:rPr>
          <w:lang w:val="en-US"/>
        </w:rPr>
        <w:t xml:space="preserve"> perspective on the histor</w:t>
      </w:r>
      <w:r w:rsidR="00451F94">
        <w:rPr>
          <w:lang w:val="en-US"/>
        </w:rPr>
        <w:t>y of violence.</w:t>
      </w:r>
      <w:proofErr w:type="gramEnd"/>
      <w:r w:rsidR="00451F94">
        <w:rPr>
          <w:lang w:val="en-US"/>
        </w:rPr>
        <w:t xml:space="preserve"> Annual Review of </w:t>
      </w:r>
      <w:r w:rsidRPr="00141C0A">
        <w:rPr>
          <w:lang w:val="en-US"/>
        </w:rPr>
        <w:t>Anthropology 30: 573-596.</w:t>
      </w:r>
    </w:p>
    <w:p w:rsidR="00451F94" w:rsidRDefault="003C4DA9" w:rsidP="007D1180">
      <w:pPr>
        <w:jc w:val="both"/>
        <w:rPr>
          <w:lang w:val="en-US"/>
        </w:rPr>
      </w:pPr>
      <w:r w:rsidRPr="003C4DA9">
        <w:rPr>
          <w:lang w:val="en-US"/>
        </w:rPr>
        <w:t xml:space="preserve">Washburn SL. 1951. </w:t>
      </w:r>
      <w:proofErr w:type="gramStart"/>
      <w:r w:rsidRPr="003C4DA9">
        <w:rPr>
          <w:lang w:val="en-US"/>
        </w:rPr>
        <w:t>The New Physical Anthropology.</w:t>
      </w:r>
      <w:proofErr w:type="gramEnd"/>
      <w:r w:rsidRPr="003C4DA9">
        <w:rPr>
          <w:lang w:val="en-US"/>
        </w:rPr>
        <w:t xml:space="preserve"> Trans</w:t>
      </w:r>
      <w:r w:rsidR="00451F94">
        <w:rPr>
          <w:lang w:val="en-US"/>
        </w:rPr>
        <w:t>actions of the</w:t>
      </w:r>
      <w:r w:rsidRPr="003C4DA9">
        <w:rPr>
          <w:lang w:val="en-US"/>
        </w:rPr>
        <w:t xml:space="preserve"> N</w:t>
      </w:r>
      <w:r w:rsidR="00451F94">
        <w:rPr>
          <w:lang w:val="en-US"/>
        </w:rPr>
        <w:t>ew</w:t>
      </w:r>
      <w:r w:rsidRPr="003C4DA9">
        <w:rPr>
          <w:lang w:val="en-US"/>
        </w:rPr>
        <w:t xml:space="preserve"> Y</w:t>
      </w:r>
      <w:r w:rsidR="00451F94">
        <w:rPr>
          <w:lang w:val="en-US"/>
        </w:rPr>
        <w:t>ork</w:t>
      </w:r>
      <w:r w:rsidRPr="003C4DA9">
        <w:rPr>
          <w:lang w:val="en-US"/>
        </w:rPr>
        <w:t xml:space="preserve"> Acad</w:t>
      </w:r>
      <w:r w:rsidR="00451F94">
        <w:rPr>
          <w:lang w:val="en-US"/>
        </w:rPr>
        <w:t xml:space="preserve">emy of </w:t>
      </w:r>
      <w:r w:rsidRPr="003C4DA9">
        <w:rPr>
          <w:lang w:val="en-US"/>
        </w:rPr>
        <w:t>Sci</w:t>
      </w:r>
      <w:r w:rsidR="00451F94">
        <w:rPr>
          <w:lang w:val="en-US"/>
        </w:rPr>
        <w:t>ences</w:t>
      </w:r>
      <w:r w:rsidRPr="003C4DA9">
        <w:rPr>
          <w:lang w:val="en-US"/>
        </w:rPr>
        <w:t xml:space="preserve"> 13:298-304.</w:t>
      </w:r>
    </w:p>
    <w:p w:rsidR="00B462DE" w:rsidRPr="00451F94" w:rsidRDefault="00141C0A" w:rsidP="007D1180">
      <w:pPr>
        <w:jc w:val="both"/>
        <w:rPr>
          <w:lang w:val="en-US"/>
        </w:rPr>
      </w:pPr>
      <w:r w:rsidRPr="00141C0A">
        <w:rPr>
          <w:lang w:val="en-US"/>
        </w:rPr>
        <w:t xml:space="preserve">Weiss, K. M. 1972. </w:t>
      </w:r>
      <w:proofErr w:type="gramStart"/>
      <w:r w:rsidRPr="00141C0A">
        <w:rPr>
          <w:lang w:val="en-US"/>
        </w:rPr>
        <w:t>On the systematic bias in skeletal sexing.</w:t>
      </w:r>
      <w:proofErr w:type="gramEnd"/>
      <w:r w:rsidRPr="00141C0A">
        <w:rPr>
          <w:lang w:val="en-US"/>
        </w:rPr>
        <w:t xml:space="preserve"> </w:t>
      </w:r>
      <w:r w:rsidR="00451F94" w:rsidRPr="00451F94">
        <w:rPr>
          <w:lang w:val="en-US"/>
        </w:rPr>
        <w:t xml:space="preserve">American Journal of Physical </w:t>
      </w:r>
      <w:r w:rsidRPr="00451F94">
        <w:rPr>
          <w:lang w:val="en-US"/>
        </w:rPr>
        <w:t>Anthropology</w:t>
      </w:r>
      <w:r w:rsidR="00451F94">
        <w:rPr>
          <w:lang w:val="en-US"/>
        </w:rPr>
        <w:t xml:space="preserve"> </w:t>
      </w:r>
      <w:r w:rsidRPr="00451F94">
        <w:rPr>
          <w:lang w:val="en-US"/>
        </w:rPr>
        <w:t>37: 239-250.</w:t>
      </w:r>
    </w:p>
    <w:p w:rsidR="00451F94" w:rsidRDefault="00451F94" w:rsidP="007D1180">
      <w:pPr>
        <w:jc w:val="both"/>
        <w:rPr>
          <w:u w:val="single"/>
        </w:rPr>
      </w:pPr>
    </w:p>
    <w:p w:rsidR="00585C93" w:rsidRPr="00D140A6" w:rsidRDefault="00D140A6" w:rsidP="007D1180">
      <w:pPr>
        <w:jc w:val="both"/>
        <w:rPr>
          <w:u w:val="single"/>
        </w:rPr>
      </w:pPr>
      <w:r w:rsidRPr="00D140A6">
        <w:rPr>
          <w:u w:val="single"/>
        </w:rPr>
        <w:lastRenderedPageBreak/>
        <w:t>M</w:t>
      </w:r>
      <w:r w:rsidR="00585C93" w:rsidRPr="00D140A6">
        <w:rPr>
          <w:u w:val="single"/>
        </w:rPr>
        <w:t>odalidad de evaluación</w:t>
      </w:r>
    </w:p>
    <w:p w:rsidR="00F024B5" w:rsidRDefault="00F024B5" w:rsidP="007D1180">
      <w:pPr>
        <w:jc w:val="both"/>
      </w:pPr>
      <w:r>
        <w:t>La evaluación consiste en un trabajo breve, a presentar no más allá de 21 días después de finalizado el curso. El mismo deberá consistir en la revisión de un aspecto del contenido del curso ya sea desde el punto de vista teórico metodológico o en una perspectiva comparativa. Se evaluarán la redacción, la profundidad del análisis y la bibliografía manejada.</w:t>
      </w:r>
    </w:p>
    <w:sectPr w:rsidR="00F024B5" w:rsidSect="000E0C75">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B87" w:rsidRDefault="00E64B87" w:rsidP="00272046">
      <w:pPr>
        <w:spacing w:after="0" w:line="240" w:lineRule="auto"/>
      </w:pPr>
      <w:r>
        <w:separator/>
      </w:r>
    </w:p>
  </w:endnote>
  <w:endnote w:type="continuationSeparator" w:id="0">
    <w:p w:rsidR="00E64B87" w:rsidRDefault="00E64B87" w:rsidP="00272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93" w:rsidRDefault="00C60681">
    <w:pPr>
      <w:pStyle w:val="Piedepgina"/>
      <w:jc w:val="right"/>
    </w:pPr>
    <w:r w:rsidRPr="00C60681">
      <w:fldChar w:fldCharType="begin"/>
    </w:r>
    <w:r w:rsidR="00864504">
      <w:instrText>PAGE   \* MERGEFORMAT</w:instrText>
    </w:r>
    <w:r w:rsidRPr="00C60681">
      <w:fldChar w:fldCharType="separate"/>
    </w:r>
    <w:r w:rsidR="00775F46" w:rsidRPr="00775F46">
      <w:rPr>
        <w:noProof/>
        <w:lang w:val="es-ES"/>
      </w:rPr>
      <w:t>4</w:t>
    </w:r>
    <w:r>
      <w:rPr>
        <w:noProof/>
        <w:lang w:val="es-ES"/>
      </w:rPr>
      <w:fldChar w:fldCharType="end"/>
    </w:r>
  </w:p>
  <w:p w:rsidR="00585C93" w:rsidRDefault="00585C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B87" w:rsidRDefault="00E64B87" w:rsidP="00272046">
      <w:pPr>
        <w:spacing w:after="0" w:line="240" w:lineRule="auto"/>
      </w:pPr>
      <w:r>
        <w:separator/>
      </w:r>
    </w:p>
  </w:footnote>
  <w:footnote w:type="continuationSeparator" w:id="0">
    <w:p w:rsidR="00E64B87" w:rsidRDefault="00E64B87" w:rsidP="002720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760B43"/>
    <w:rsid w:val="00071D59"/>
    <w:rsid w:val="000E0C75"/>
    <w:rsid w:val="000E1694"/>
    <w:rsid w:val="000F0B5D"/>
    <w:rsid w:val="00137B48"/>
    <w:rsid w:val="00141C0A"/>
    <w:rsid w:val="001B6363"/>
    <w:rsid w:val="001F2120"/>
    <w:rsid w:val="00272046"/>
    <w:rsid w:val="002B5D06"/>
    <w:rsid w:val="002C3F65"/>
    <w:rsid w:val="002C7935"/>
    <w:rsid w:val="002D7CBA"/>
    <w:rsid w:val="003047E0"/>
    <w:rsid w:val="0031055E"/>
    <w:rsid w:val="003148AC"/>
    <w:rsid w:val="00363D25"/>
    <w:rsid w:val="00365219"/>
    <w:rsid w:val="003C4DA9"/>
    <w:rsid w:val="003D36D9"/>
    <w:rsid w:val="003E2291"/>
    <w:rsid w:val="0044130D"/>
    <w:rsid w:val="00451F94"/>
    <w:rsid w:val="004962F5"/>
    <w:rsid w:val="004F3014"/>
    <w:rsid w:val="00543443"/>
    <w:rsid w:val="0055682D"/>
    <w:rsid w:val="00585C93"/>
    <w:rsid w:val="00616CF1"/>
    <w:rsid w:val="006A44A9"/>
    <w:rsid w:val="006F7E0E"/>
    <w:rsid w:val="00760B43"/>
    <w:rsid w:val="00767C73"/>
    <w:rsid w:val="00775F46"/>
    <w:rsid w:val="007967D0"/>
    <w:rsid w:val="00796D1E"/>
    <w:rsid w:val="007D1180"/>
    <w:rsid w:val="007F0111"/>
    <w:rsid w:val="0085198C"/>
    <w:rsid w:val="00864504"/>
    <w:rsid w:val="008969B0"/>
    <w:rsid w:val="008C34D3"/>
    <w:rsid w:val="0091781A"/>
    <w:rsid w:val="009739A3"/>
    <w:rsid w:val="0099092B"/>
    <w:rsid w:val="009D0392"/>
    <w:rsid w:val="00A339B8"/>
    <w:rsid w:val="00B446AB"/>
    <w:rsid w:val="00B462DE"/>
    <w:rsid w:val="00BF0B03"/>
    <w:rsid w:val="00C23CEE"/>
    <w:rsid w:val="00C60681"/>
    <w:rsid w:val="00CE5004"/>
    <w:rsid w:val="00D140A6"/>
    <w:rsid w:val="00D31F08"/>
    <w:rsid w:val="00D50089"/>
    <w:rsid w:val="00DA0A68"/>
    <w:rsid w:val="00DC1B6E"/>
    <w:rsid w:val="00E64B87"/>
    <w:rsid w:val="00F024B5"/>
    <w:rsid w:val="00F42544"/>
    <w:rsid w:val="00FA1B33"/>
    <w:rsid w:val="00FB679B"/>
    <w:rsid w:val="00FF71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75"/>
    <w:pPr>
      <w:spacing w:after="200" w:line="276" w:lineRule="auto"/>
    </w:pPr>
    <w:rPr>
      <w:rFonts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339B8"/>
    <w:pPr>
      <w:ind w:left="720"/>
    </w:pPr>
  </w:style>
  <w:style w:type="paragraph" w:styleId="Encabezado">
    <w:name w:val="header"/>
    <w:basedOn w:val="Normal"/>
    <w:link w:val="EncabezadoCar"/>
    <w:uiPriority w:val="99"/>
    <w:rsid w:val="00272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72046"/>
  </w:style>
  <w:style w:type="paragraph" w:styleId="Piedepgina">
    <w:name w:val="footer"/>
    <w:basedOn w:val="Normal"/>
    <w:link w:val="PiedepginaCar"/>
    <w:uiPriority w:val="99"/>
    <w:rsid w:val="002720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72046"/>
  </w:style>
  <w:style w:type="paragraph" w:styleId="Textodeglobo">
    <w:name w:val="Balloon Text"/>
    <w:basedOn w:val="Normal"/>
    <w:link w:val="TextodegloboCar"/>
    <w:uiPriority w:val="99"/>
    <w:semiHidden/>
    <w:rsid w:val="009739A3"/>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EC3"/>
    <w:rPr>
      <w:rFonts w:ascii="Times New Roman" w:hAnsi="Times New Roman"/>
      <w:sz w:val="0"/>
      <w:szCs w:val="0"/>
      <w:lang w:val="es-AR"/>
    </w:rPr>
  </w:style>
  <w:style w:type="character" w:styleId="Refdecomentario">
    <w:name w:val="annotation reference"/>
    <w:basedOn w:val="Fuentedeprrafopredeter"/>
    <w:uiPriority w:val="99"/>
    <w:semiHidden/>
    <w:rsid w:val="009739A3"/>
    <w:rPr>
      <w:sz w:val="16"/>
      <w:szCs w:val="16"/>
    </w:rPr>
  </w:style>
  <w:style w:type="paragraph" w:styleId="Textocomentario">
    <w:name w:val="annotation text"/>
    <w:basedOn w:val="Normal"/>
    <w:link w:val="TextocomentarioCar"/>
    <w:uiPriority w:val="99"/>
    <w:semiHidden/>
    <w:rsid w:val="009739A3"/>
    <w:rPr>
      <w:sz w:val="20"/>
      <w:szCs w:val="20"/>
    </w:rPr>
  </w:style>
  <w:style w:type="character" w:customStyle="1" w:styleId="TextocomentarioCar">
    <w:name w:val="Texto comentario Car"/>
    <w:basedOn w:val="Fuentedeprrafopredeter"/>
    <w:link w:val="Textocomentario"/>
    <w:uiPriority w:val="99"/>
    <w:semiHidden/>
    <w:rsid w:val="00D90EC3"/>
    <w:rPr>
      <w:rFonts w:cs="Calibri"/>
      <w:sz w:val="20"/>
      <w:szCs w:val="20"/>
      <w:lang w:val="es-AR"/>
    </w:rPr>
  </w:style>
  <w:style w:type="paragraph" w:styleId="Asuntodelcomentario">
    <w:name w:val="annotation subject"/>
    <w:basedOn w:val="Textocomentario"/>
    <w:next w:val="Textocomentario"/>
    <w:link w:val="AsuntodelcomentarioCar"/>
    <w:uiPriority w:val="99"/>
    <w:semiHidden/>
    <w:rsid w:val="009739A3"/>
    <w:rPr>
      <w:b/>
      <w:bCs/>
    </w:rPr>
  </w:style>
  <w:style w:type="character" w:customStyle="1" w:styleId="AsuntodelcomentarioCar">
    <w:name w:val="Asunto del comentario Car"/>
    <w:basedOn w:val="TextocomentarioCar"/>
    <w:link w:val="Asuntodelcomentario"/>
    <w:uiPriority w:val="99"/>
    <w:semiHidden/>
    <w:rsid w:val="00D90EC3"/>
    <w:rPr>
      <w:rFonts w:cs="Calibri"/>
      <w:b/>
      <w:bCs/>
      <w:sz w:val="20"/>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75"/>
    <w:pPr>
      <w:spacing w:after="200" w:line="276" w:lineRule="auto"/>
    </w:pPr>
    <w:rPr>
      <w:rFonts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339B8"/>
    <w:pPr>
      <w:ind w:left="720"/>
    </w:pPr>
  </w:style>
  <w:style w:type="paragraph" w:styleId="Encabezado">
    <w:name w:val="header"/>
    <w:basedOn w:val="Normal"/>
    <w:link w:val="EncabezadoCar"/>
    <w:uiPriority w:val="99"/>
    <w:rsid w:val="00272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72046"/>
  </w:style>
  <w:style w:type="paragraph" w:styleId="Piedepgina">
    <w:name w:val="footer"/>
    <w:basedOn w:val="Normal"/>
    <w:link w:val="PiedepginaCar"/>
    <w:uiPriority w:val="99"/>
    <w:rsid w:val="002720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72046"/>
  </w:style>
  <w:style w:type="paragraph" w:styleId="Textodeglobo">
    <w:name w:val="Balloon Text"/>
    <w:basedOn w:val="Normal"/>
    <w:link w:val="TextodegloboCar"/>
    <w:uiPriority w:val="99"/>
    <w:semiHidden/>
    <w:rsid w:val="009739A3"/>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EC3"/>
    <w:rPr>
      <w:rFonts w:ascii="Times New Roman" w:hAnsi="Times New Roman"/>
      <w:sz w:val="0"/>
      <w:szCs w:val="0"/>
      <w:lang w:val="es-AR"/>
    </w:rPr>
  </w:style>
  <w:style w:type="character" w:styleId="Refdecomentario">
    <w:name w:val="annotation reference"/>
    <w:basedOn w:val="Fuentedeprrafopredeter"/>
    <w:uiPriority w:val="99"/>
    <w:semiHidden/>
    <w:rsid w:val="009739A3"/>
    <w:rPr>
      <w:sz w:val="16"/>
      <w:szCs w:val="16"/>
    </w:rPr>
  </w:style>
  <w:style w:type="paragraph" w:styleId="Textocomentario">
    <w:name w:val="annotation text"/>
    <w:basedOn w:val="Normal"/>
    <w:link w:val="TextocomentarioCar"/>
    <w:uiPriority w:val="99"/>
    <w:semiHidden/>
    <w:rsid w:val="009739A3"/>
    <w:rPr>
      <w:sz w:val="20"/>
      <w:szCs w:val="20"/>
    </w:rPr>
  </w:style>
  <w:style w:type="character" w:customStyle="1" w:styleId="TextocomentarioCar">
    <w:name w:val="Texto comentario Car"/>
    <w:basedOn w:val="Fuentedeprrafopredeter"/>
    <w:link w:val="Textocomentario"/>
    <w:uiPriority w:val="99"/>
    <w:semiHidden/>
    <w:rsid w:val="00D90EC3"/>
    <w:rPr>
      <w:rFonts w:cs="Calibri"/>
      <w:sz w:val="20"/>
      <w:szCs w:val="20"/>
      <w:lang w:val="es-AR"/>
    </w:rPr>
  </w:style>
  <w:style w:type="paragraph" w:styleId="Asuntodelcomentario">
    <w:name w:val="annotation subject"/>
    <w:basedOn w:val="Textocomentario"/>
    <w:next w:val="Textocomentario"/>
    <w:link w:val="AsuntodelcomentarioCar"/>
    <w:uiPriority w:val="99"/>
    <w:semiHidden/>
    <w:rsid w:val="009739A3"/>
    <w:rPr>
      <w:b/>
      <w:bCs/>
    </w:rPr>
  </w:style>
  <w:style w:type="character" w:customStyle="1" w:styleId="AsuntodelcomentarioCar">
    <w:name w:val="Asunto del comentario Car"/>
    <w:basedOn w:val="TextocomentarioCar"/>
    <w:link w:val="Asuntodelcomentario"/>
    <w:uiPriority w:val="99"/>
    <w:semiHidden/>
    <w:rsid w:val="00D90EC3"/>
    <w:rPr>
      <w:rFonts w:cs="Calibri"/>
      <w:b/>
      <w:bCs/>
      <w:sz w:val="20"/>
      <w:szCs w:val="20"/>
      <w:lang w:val="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FORMATO PRESENTACIÓN CURSOS DE POSGRADO Y DOCTORADO</vt:lpstr>
    </vt:vector>
  </TitlesOfParts>
  <Company>Allcom</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PRESENTACIÓN CURSOS DE POSGRADO Y DOCTORADO</dc:title>
  <dc:creator>PC01</dc:creator>
  <cp:lastModifiedBy>USUARIO</cp:lastModifiedBy>
  <cp:revision>4</cp:revision>
  <dcterms:created xsi:type="dcterms:W3CDTF">2017-06-26T17:54:00Z</dcterms:created>
  <dcterms:modified xsi:type="dcterms:W3CDTF">2017-06-26T17:54:00Z</dcterms:modified>
</cp:coreProperties>
</file>